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8E" w:rsidRDefault="00216D8E" w:rsidP="00216D8E">
      <w:pPr>
        <w:jc w:val="center"/>
        <w:outlineLvl w:val="0"/>
        <w:rPr>
          <w:rFonts w:ascii="Arial" w:hAnsi="Arial" w:cs="Arial"/>
          <w:b/>
        </w:rPr>
      </w:pPr>
      <w:r>
        <w:rPr>
          <w:rFonts w:ascii="Arial" w:hAnsi="Arial" w:cs="Arial"/>
          <w:b/>
        </w:rPr>
        <w:t xml:space="preserve">Pravidla </w:t>
      </w:r>
      <w:r w:rsidRPr="00DB68B1">
        <w:rPr>
          <w:rFonts w:ascii="Arial" w:hAnsi="Arial" w:cs="Arial"/>
          <w:b/>
        </w:rPr>
        <w:t>„</w:t>
      </w:r>
      <w:r w:rsidR="00EA525D" w:rsidRPr="00EA525D">
        <w:rPr>
          <w:rFonts w:ascii="Arial" w:hAnsi="Arial" w:cs="Arial"/>
          <w:b/>
          <w:caps/>
        </w:rPr>
        <w:t>vánoční hra</w:t>
      </w:r>
      <w:r w:rsidRPr="00DB68B1">
        <w:rPr>
          <w:rFonts w:ascii="Arial" w:hAnsi="Arial" w:cs="Arial"/>
          <w:b/>
        </w:rPr>
        <w:t>“</w:t>
      </w:r>
    </w:p>
    <w:p w:rsidR="00216D8E" w:rsidRPr="007F3752" w:rsidRDefault="00216D8E" w:rsidP="00216D8E">
      <w:pPr>
        <w:jc w:val="center"/>
        <w:outlineLvl w:val="0"/>
        <w:rPr>
          <w:rFonts w:ascii="Arial" w:hAnsi="Arial" w:cs="Arial"/>
          <w:b/>
          <w:i/>
        </w:rPr>
      </w:pPr>
      <w:r w:rsidRPr="007F3752">
        <w:rPr>
          <w:rFonts w:ascii="Arial" w:hAnsi="Arial" w:cs="Arial"/>
          <w:b/>
          <w:i/>
        </w:rPr>
        <w:t xml:space="preserve">organizované pro zákazníky </w:t>
      </w:r>
    </w:p>
    <w:p w:rsidR="00216D8E" w:rsidRPr="007F3752" w:rsidRDefault="00216D8E" w:rsidP="00216D8E">
      <w:pPr>
        <w:jc w:val="center"/>
        <w:outlineLvl w:val="0"/>
        <w:rPr>
          <w:rFonts w:ascii="Arial" w:hAnsi="Arial" w:cs="Arial"/>
          <w:b/>
          <w:i/>
        </w:rPr>
      </w:pPr>
      <w:r w:rsidRPr="007F3752">
        <w:rPr>
          <w:rFonts w:ascii="Arial" w:hAnsi="Arial" w:cs="Arial"/>
          <w:b/>
          <w:i/>
        </w:rPr>
        <w:t xml:space="preserve">členské prodejny </w:t>
      </w:r>
      <w:r>
        <w:rPr>
          <w:rFonts w:ascii="Arial" w:hAnsi="Arial" w:cs="Arial"/>
          <w:b/>
          <w:i/>
        </w:rPr>
        <w:t>maloobchodní sítě MO PARTNER</w:t>
      </w:r>
      <w:r w:rsidRPr="007F3752">
        <w:rPr>
          <w:rFonts w:ascii="Arial" w:hAnsi="Arial" w:cs="Arial"/>
          <w:b/>
          <w:i/>
        </w:rPr>
        <w:t xml:space="preserve"> a.s. </w:t>
      </w:r>
    </w:p>
    <w:p w:rsidR="009569D1" w:rsidRDefault="009569D1" w:rsidP="00ED495B">
      <w:pPr>
        <w:jc w:val="center"/>
        <w:outlineLvl w:val="0"/>
        <w:rPr>
          <w:rFonts w:ascii="Arial" w:hAnsi="Arial" w:cs="Arial"/>
          <w:b/>
          <w:sz w:val="16"/>
          <w:szCs w:val="16"/>
        </w:rPr>
      </w:pPr>
    </w:p>
    <w:p w:rsidR="00ED495B" w:rsidRDefault="00ED495B" w:rsidP="00ED495B">
      <w:pPr>
        <w:jc w:val="center"/>
        <w:outlineLvl w:val="0"/>
        <w:rPr>
          <w:rFonts w:ascii="Arial" w:hAnsi="Arial" w:cs="Arial"/>
          <w:b/>
          <w:sz w:val="16"/>
          <w:szCs w:val="16"/>
          <w:u w:val="single"/>
        </w:rPr>
      </w:pPr>
    </w:p>
    <w:p w:rsidR="00216D8E" w:rsidRPr="009B490A" w:rsidRDefault="00216D8E" w:rsidP="00216D8E">
      <w:pPr>
        <w:jc w:val="both"/>
        <w:rPr>
          <w:rFonts w:ascii="Arial" w:hAnsi="Arial" w:cs="Arial"/>
          <w:b/>
          <w:color w:val="000000" w:themeColor="text1"/>
          <w:sz w:val="20"/>
          <w:szCs w:val="20"/>
        </w:rPr>
      </w:pPr>
      <w:r w:rsidRPr="009B490A">
        <w:rPr>
          <w:rFonts w:ascii="Arial" w:hAnsi="Arial" w:cs="Arial"/>
          <w:b/>
          <w:color w:val="000000" w:themeColor="text1"/>
          <w:sz w:val="20"/>
          <w:szCs w:val="20"/>
        </w:rPr>
        <w:t>Pravidla hry</w:t>
      </w:r>
    </w:p>
    <w:p w:rsidR="00216D8E" w:rsidRPr="009B490A" w:rsidRDefault="00216D8E" w:rsidP="00216D8E">
      <w:pPr>
        <w:ind w:left="360"/>
        <w:jc w:val="both"/>
        <w:rPr>
          <w:rFonts w:ascii="Arial" w:hAnsi="Arial" w:cs="Arial"/>
          <w:color w:val="000000" w:themeColor="text1"/>
          <w:sz w:val="20"/>
          <w:szCs w:val="20"/>
        </w:rPr>
      </w:pPr>
    </w:p>
    <w:p w:rsidR="00216D8E" w:rsidRPr="009B490A" w:rsidRDefault="00216D8E" w:rsidP="00216D8E">
      <w:pPr>
        <w:numPr>
          <w:ilvl w:val="0"/>
          <w:numId w:val="8"/>
        </w:numPr>
        <w:tabs>
          <w:tab w:val="num" w:pos="1440"/>
        </w:tabs>
        <w:jc w:val="both"/>
        <w:rPr>
          <w:rFonts w:ascii="Arial" w:hAnsi="Arial" w:cs="Arial"/>
          <w:color w:val="000000" w:themeColor="text1"/>
          <w:sz w:val="20"/>
          <w:szCs w:val="20"/>
        </w:rPr>
      </w:pPr>
      <w:r w:rsidRPr="009B490A">
        <w:rPr>
          <w:rFonts w:ascii="Arial" w:hAnsi="Arial" w:cs="Arial"/>
          <w:color w:val="000000" w:themeColor="text1"/>
          <w:sz w:val="20"/>
          <w:szCs w:val="20"/>
        </w:rPr>
        <w:t xml:space="preserve">Hra je provozována na vybraných prodejnách provozovaných Organizátorem. O zapojení prodejny do Hry, o cenách losovaných na této prodejně (ze zde do Schránky odevzdaných Hracích karet) a o vlastním termínu a čase losování je zákazník informován tím, že je na prodejně viditelně vyvěšen Plakát Hry nebo Výherní listina prodejny. </w:t>
      </w:r>
    </w:p>
    <w:p w:rsidR="00216D8E" w:rsidRPr="009B490A" w:rsidRDefault="00216D8E" w:rsidP="00216D8E">
      <w:pPr>
        <w:tabs>
          <w:tab w:val="num" w:pos="1440"/>
        </w:tabs>
        <w:ind w:left="720"/>
        <w:jc w:val="both"/>
        <w:rPr>
          <w:rFonts w:ascii="Arial" w:hAnsi="Arial" w:cs="Arial"/>
          <w:color w:val="000000" w:themeColor="text1"/>
          <w:sz w:val="20"/>
          <w:szCs w:val="20"/>
        </w:rPr>
      </w:pPr>
    </w:p>
    <w:p w:rsidR="00216D8E" w:rsidRPr="009B490A" w:rsidRDefault="00216D8E" w:rsidP="00216D8E">
      <w:pPr>
        <w:numPr>
          <w:ilvl w:val="1"/>
          <w:numId w:val="8"/>
        </w:numPr>
        <w:tabs>
          <w:tab w:val="num" w:pos="720"/>
        </w:tabs>
        <w:ind w:left="720"/>
        <w:jc w:val="both"/>
        <w:rPr>
          <w:rFonts w:ascii="Arial" w:hAnsi="Arial" w:cs="Arial"/>
          <w:color w:val="000000" w:themeColor="text1"/>
          <w:sz w:val="20"/>
          <w:szCs w:val="20"/>
        </w:rPr>
      </w:pPr>
      <w:r w:rsidRPr="009B490A">
        <w:rPr>
          <w:rFonts w:ascii="Arial" w:hAnsi="Arial" w:cs="Arial"/>
          <w:color w:val="000000" w:themeColor="text1"/>
          <w:sz w:val="20"/>
          <w:szCs w:val="20"/>
        </w:rPr>
        <w:t>Každý Účastník obdrží za svůj první Účastnický nákup jednu Hrací kartu a do ní jedno razítko. Za každý další Účastnický nákup obdrží do Hrací karty jedno další razítko. Po zaplnění všech šesti polí vyplní zákazník své osobní údaje na zadní straně karty (jméno, příjmení, telefon) a takto kompletní Hrací kartu vhodí do určené Schránky na prodejně pro zařazení do losování výher.</w:t>
      </w:r>
    </w:p>
    <w:p w:rsidR="00216D8E" w:rsidRPr="009B490A" w:rsidRDefault="00216D8E" w:rsidP="00216D8E">
      <w:pPr>
        <w:tabs>
          <w:tab w:val="num" w:pos="1440"/>
        </w:tabs>
        <w:ind w:left="360"/>
        <w:jc w:val="both"/>
        <w:rPr>
          <w:rFonts w:ascii="Arial" w:hAnsi="Arial" w:cs="Arial"/>
          <w:color w:val="000000" w:themeColor="text1"/>
          <w:sz w:val="20"/>
          <w:szCs w:val="20"/>
        </w:rPr>
      </w:pPr>
    </w:p>
    <w:p w:rsidR="00216D8E" w:rsidRPr="009B490A" w:rsidRDefault="00216D8E" w:rsidP="00216D8E">
      <w:pPr>
        <w:numPr>
          <w:ilvl w:val="0"/>
          <w:numId w:val="8"/>
        </w:numPr>
        <w:jc w:val="both"/>
        <w:rPr>
          <w:rFonts w:ascii="Arial" w:hAnsi="Arial" w:cs="Arial"/>
          <w:color w:val="000000" w:themeColor="text1"/>
          <w:sz w:val="20"/>
          <w:szCs w:val="20"/>
        </w:rPr>
      </w:pPr>
      <w:r w:rsidRPr="009B490A">
        <w:rPr>
          <w:rFonts w:ascii="Arial" w:hAnsi="Arial" w:cs="Arial"/>
          <w:color w:val="000000" w:themeColor="text1"/>
          <w:sz w:val="20"/>
          <w:szCs w:val="20"/>
        </w:rPr>
        <w:t xml:space="preserve">Do Hry nebudou zařazeny Hrací karty, které budou neúplně či nečitelně vyplněny. </w:t>
      </w:r>
      <w:r w:rsidRPr="009B490A">
        <w:rPr>
          <w:rFonts w:ascii="Arial" w:hAnsi="Arial" w:cs="Arial"/>
          <w:color w:val="000000" w:themeColor="text1"/>
          <w:sz w:val="20"/>
          <w:szCs w:val="20"/>
        </w:rPr>
        <w:br/>
        <w:t>tzn. nebudou-li obsahovat všechna razítka, či údaje Účastníka budou nečitelné.</w:t>
      </w:r>
    </w:p>
    <w:p w:rsidR="00216D8E" w:rsidRPr="009B490A" w:rsidRDefault="00216D8E" w:rsidP="00216D8E">
      <w:pPr>
        <w:ind w:left="360"/>
        <w:jc w:val="both"/>
        <w:rPr>
          <w:rFonts w:ascii="Arial" w:hAnsi="Arial" w:cs="Arial"/>
          <w:color w:val="000000" w:themeColor="text1"/>
          <w:sz w:val="20"/>
          <w:szCs w:val="20"/>
        </w:rPr>
      </w:pPr>
    </w:p>
    <w:p w:rsidR="00216D8E" w:rsidRPr="009B490A" w:rsidRDefault="00216D8E" w:rsidP="00216D8E">
      <w:pPr>
        <w:numPr>
          <w:ilvl w:val="0"/>
          <w:numId w:val="8"/>
        </w:numPr>
        <w:jc w:val="both"/>
        <w:rPr>
          <w:rFonts w:ascii="Arial" w:hAnsi="Arial" w:cs="Arial"/>
          <w:color w:val="000000" w:themeColor="text1"/>
          <w:sz w:val="20"/>
          <w:szCs w:val="20"/>
        </w:rPr>
      </w:pPr>
      <w:r w:rsidRPr="009B490A">
        <w:rPr>
          <w:rFonts w:ascii="Arial" w:hAnsi="Arial" w:cs="Arial"/>
          <w:color w:val="000000" w:themeColor="text1"/>
          <w:sz w:val="20"/>
          <w:szCs w:val="20"/>
        </w:rPr>
        <w:t>Po skončení Doby trvání a to v termínu a čase uvedeném na Plakátu Hry a Výherní listině prodejny proběhne samostatně na každé prodejně organizátora zapojené do Hry veřejné losování cen Hry dle Výherní listiny prodejny. Losující osoby určí Organizátor přednostně z řad přítomných Účastníků, případně zákazníků či jiných osob. Losovat se bude tím způsobem, že Organizátor určí ze seznamu výher cenu, o kterou se právě losuje, a losující osoba vylosuje výherce tak, že ze všech Hracích karet vhozených do Schránky v Době trvání vytáhne způsobem, který znemožňuje ovlivnění výsledku losování, právě jednu Hrací kartu. Údaje Účastníka na zadní straně Hrací karty určují výherce a Organizátor jej zapíše do Výherní listiny prodejny do pole oznamujícího výherce právě losované ceny.</w:t>
      </w:r>
    </w:p>
    <w:p w:rsidR="00216D8E" w:rsidRPr="009B490A" w:rsidRDefault="00216D8E" w:rsidP="00216D8E">
      <w:pPr>
        <w:pStyle w:val="Odstavecseseznamem"/>
        <w:rPr>
          <w:rFonts w:ascii="Arial" w:hAnsi="Arial" w:cs="Arial"/>
          <w:color w:val="000000" w:themeColor="text1"/>
          <w:sz w:val="20"/>
          <w:szCs w:val="20"/>
        </w:rPr>
      </w:pPr>
    </w:p>
    <w:p w:rsidR="00216D8E" w:rsidRPr="009B490A" w:rsidRDefault="00216D8E" w:rsidP="00216D8E">
      <w:pPr>
        <w:numPr>
          <w:ilvl w:val="0"/>
          <w:numId w:val="8"/>
        </w:numPr>
        <w:jc w:val="both"/>
        <w:rPr>
          <w:rFonts w:ascii="Arial" w:hAnsi="Arial" w:cs="Arial"/>
          <w:color w:val="000000" w:themeColor="text1"/>
          <w:sz w:val="20"/>
          <w:szCs w:val="20"/>
        </w:rPr>
      </w:pPr>
      <w:r w:rsidRPr="009B490A">
        <w:rPr>
          <w:rFonts w:ascii="Arial" w:hAnsi="Arial" w:cs="Arial"/>
          <w:color w:val="000000" w:themeColor="text1"/>
          <w:sz w:val="20"/>
          <w:szCs w:val="20"/>
        </w:rPr>
        <w:t>Ihned od ukončení losování až do konce doby určené pro předání cen bude Výherní listina prodejny na prodejně viditelně vyvěšena tak, aby si každý Účastník mohl v tomto období zkontrolovat, zda se stal či nestal výhercem některé z cen Hry.</w:t>
      </w:r>
    </w:p>
    <w:p w:rsidR="00216D8E" w:rsidRPr="009B490A" w:rsidRDefault="00216D8E" w:rsidP="00216D8E">
      <w:pPr>
        <w:pStyle w:val="Odstavecseseznamem"/>
        <w:rPr>
          <w:rFonts w:ascii="Arial" w:hAnsi="Arial" w:cs="Arial"/>
          <w:color w:val="000000" w:themeColor="text1"/>
          <w:sz w:val="20"/>
          <w:szCs w:val="20"/>
        </w:rPr>
      </w:pPr>
    </w:p>
    <w:p w:rsidR="00216D8E" w:rsidRPr="00614A02" w:rsidRDefault="00216D8E" w:rsidP="00216D8E">
      <w:pPr>
        <w:numPr>
          <w:ilvl w:val="0"/>
          <w:numId w:val="8"/>
        </w:numPr>
        <w:jc w:val="both"/>
        <w:rPr>
          <w:rFonts w:ascii="Arial" w:hAnsi="Arial" w:cs="Arial"/>
          <w:color w:val="000000" w:themeColor="text1"/>
          <w:sz w:val="20"/>
          <w:szCs w:val="20"/>
        </w:rPr>
      </w:pPr>
      <w:r w:rsidRPr="009B490A">
        <w:rPr>
          <w:rFonts w:ascii="Arial" w:hAnsi="Arial" w:cs="Arial"/>
          <w:color w:val="000000" w:themeColor="text1"/>
          <w:sz w:val="20"/>
          <w:szCs w:val="20"/>
        </w:rPr>
        <w:t xml:space="preserve">Výhry budou předávány účastníkům Organizátorem na jeho prodejně ve stanovené otevírací době </w:t>
      </w:r>
      <w:r w:rsidR="0093068D" w:rsidRPr="009B490A">
        <w:rPr>
          <w:rFonts w:ascii="Arial" w:hAnsi="Arial" w:cs="Arial"/>
          <w:color w:val="000000" w:themeColor="text1"/>
          <w:sz w:val="20"/>
          <w:szCs w:val="20"/>
        </w:rPr>
        <w:t>prodejny,</w:t>
      </w:r>
      <w:r w:rsidRPr="009B490A">
        <w:rPr>
          <w:rFonts w:ascii="Arial" w:hAnsi="Arial" w:cs="Arial"/>
          <w:color w:val="000000" w:themeColor="text1"/>
          <w:sz w:val="20"/>
          <w:szCs w:val="20"/>
        </w:rPr>
        <w:t xml:space="preserve">a to ihned od okamžiku vylosování, nejpozději však do </w:t>
      </w:r>
      <w:r w:rsidR="00DB0629" w:rsidRPr="004944A2">
        <w:rPr>
          <w:rFonts w:ascii="Arial" w:hAnsi="Arial" w:cs="Arial"/>
          <w:b/>
          <w:color w:val="000000" w:themeColor="text1"/>
          <w:sz w:val="20"/>
          <w:szCs w:val="20"/>
        </w:rPr>
        <w:t>2</w:t>
      </w:r>
      <w:r w:rsidR="00A72C89" w:rsidRPr="004944A2">
        <w:rPr>
          <w:rFonts w:ascii="Arial" w:hAnsi="Arial" w:cs="Arial"/>
          <w:b/>
          <w:color w:val="000000" w:themeColor="text1"/>
          <w:sz w:val="20"/>
          <w:szCs w:val="20"/>
        </w:rPr>
        <w:t>3</w:t>
      </w:r>
      <w:r w:rsidR="00DB0629" w:rsidRPr="004944A2">
        <w:rPr>
          <w:rFonts w:ascii="Arial" w:hAnsi="Arial" w:cs="Arial"/>
          <w:b/>
          <w:color w:val="000000" w:themeColor="text1"/>
          <w:sz w:val="20"/>
          <w:szCs w:val="20"/>
        </w:rPr>
        <w:t>. prosince</w:t>
      </w:r>
      <w:r w:rsidRPr="004944A2">
        <w:rPr>
          <w:rFonts w:ascii="Arial" w:hAnsi="Arial" w:cs="Arial"/>
          <w:b/>
          <w:color w:val="000000" w:themeColor="text1"/>
          <w:sz w:val="20"/>
          <w:szCs w:val="20"/>
        </w:rPr>
        <w:t xml:space="preserve"> 20</w:t>
      </w:r>
      <w:r w:rsidR="004944A2" w:rsidRPr="004944A2">
        <w:rPr>
          <w:rFonts w:ascii="Arial" w:hAnsi="Arial" w:cs="Arial"/>
          <w:b/>
          <w:color w:val="000000" w:themeColor="text1"/>
          <w:sz w:val="20"/>
          <w:szCs w:val="20"/>
        </w:rPr>
        <w:t>2</w:t>
      </w:r>
      <w:r w:rsidR="00301D4B">
        <w:rPr>
          <w:rFonts w:ascii="Arial" w:hAnsi="Arial" w:cs="Arial"/>
          <w:b/>
          <w:color w:val="000000" w:themeColor="text1"/>
          <w:sz w:val="20"/>
          <w:szCs w:val="20"/>
        </w:rPr>
        <w:t>1</w:t>
      </w:r>
      <w:r w:rsidRPr="00614A02">
        <w:rPr>
          <w:rFonts w:ascii="Arial" w:hAnsi="Arial" w:cs="Arial"/>
          <w:color w:val="000000" w:themeColor="text1"/>
          <w:sz w:val="20"/>
          <w:szCs w:val="20"/>
        </w:rPr>
        <w:t xml:space="preserve"> do konce pracovní doby. Výhru přebírající Účastník je povinen předložit Organizátorovi svůj občanský průkaz pro ověření shodnosti údajů na Hrací kartě a podepsat Předávací protokol výhry - jinak mu nebude Organizátorem výhra vydána.</w:t>
      </w:r>
    </w:p>
    <w:p w:rsidR="00216D8E" w:rsidRPr="00614A02" w:rsidRDefault="00216D8E" w:rsidP="00216D8E">
      <w:pPr>
        <w:jc w:val="both"/>
        <w:rPr>
          <w:rFonts w:ascii="Arial" w:hAnsi="Arial" w:cs="Arial"/>
          <w:color w:val="000000" w:themeColor="text1"/>
          <w:sz w:val="20"/>
          <w:szCs w:val="20"/>
        </w:rPr>
      </w:pPr>
    </w:p>
    <w:p w:rsidR="00216D8E" w:rsidRPr="00614A02" w:rsidRDefault="00216D8E" w:rsidP="00216D8E">
      <w:pPr>
        <w:numPr>
          <w:ilvl w:val="0"/>
          <w:numId w:val="8"/>
        </w:numPr>
        <w:jc w:val="both"/>
        <w:rPr>
          <w:rFonts w:ascii="Arial" w:hAnsi="Arial" w:cs="Arial"/>
          <w:color w:val="000000" w:themeColor="text1"/>
          <w:sz w:val="20"/>
          <w:szCs w:val="20"/>
        </w:rPr>
      </w:pPr>
      <w:r w:rsidRPr="00614A02">
        <w:rPr>
          <w:rFonts w:ascii="Arial" w:hAnsi="Arial" w:cs="Arial"/>
          <w:color w:val="000000" w:themeColor="text1"/>
          <w:sz w:val="20"/>
          <w:szCs w:val="20"/>
        </w:rPr>
        <w:t>Výhry nelze vymáhat soudní cestou.</w:t>
      </w:r>
    </w:p>
    <w:p w:rsidR="00216D8E" w:rsidRPr="00614A02" w:rsidRDefault="00216D8E" w:rsidP="00216D8E">
      <w:pPr>
        <w:jc w:val="both"/>
        <w:rPr>
          <w:rFonts w:ascii="Arial" w:hAnsi="Arial" w:cs="Arial"/>
          <w:color w:val="000000" w:themeColor="text1"/>
          <w:sz w:val="20"/>
          <w:szCs w:val="20"/>
        </w:rPr>
      </w:pPr>
    </w:p>
    <w:p w:rsidR="00216D8E" w:rsidRPr="00614A02" w:rsidRDefault="00216D8E" w:rsidP="00216D8E">
      <w:pPr>
        <w:numPr>
          <w:ilvl w:val="0"/>
          <w:numId w:val="8"/>
        </w:numPr>
        <w:jc w:val="both"/>
        <w:rPr>
          <w:rFonts w:ascii="Arial" w:hAnsi="Arial" w:cs="Arial"/>
          <w:color w:val="000000" w:themeColor="text1"/>
          <w:sz w:val="20"/>
          <w:szCs w:val="20"/>
        </w:rPr>
      </w:pPr>
      <w:r w:rsidRPr="00614A02">
        <w:rPr>
          <w:rFonts w:ascii="Arial" w:hAnsi="Arial" w:cs="Arial"/>
          <w:color w:val="000000" w:themeColor="text1"/>
          <w:sz w:val="20"/>
          <w:szCs w:val="20"/>
        </w:rPr>
        <w:t xml:space="preserve">Výhry, které nebudou uplatněny do konce pracovní doby dne </w:t>
      </w:r>
      <w:r w:rsidR="00DB0629" w:rsidRPr="004944A2">
        <w:rPr>
          <w:rFonts w:ascii="Arial" w:hAnsi="Arial" w:cs="Arial"/>
          <w:b/>
          <w:color w:val="000000" w:themeColor="text1"/>
          <w:sz w:val="20"/>
          <w:szCs w:val="20"/>
        </w:rPr>
        <w:t>2</w:t>
      </w:r>
      <w:r w:rsidR="00A72C89" w:rsidRPr="004944A2">
        <w:rPr>
          <w:rFonts w:ascii="Arial" w:hAnsi="Arial" w:cs="Arial"/>
          <w:b/>
          <w:color w:val="000000" w:themeColor="text1"/>
          <w:sz w:val="20"/>
          <w:szCs w:val="20"/>
        </w:rPr>
        <w:t>3</w:t>
      </w:r>
      <w:r w:rsidR="00DB0629" w:rsidRPr="004944A2">
        <w:rPr>
          <w:rFonts w:ascii="Arial" w:hAnsi="Arial" w:cs="Arial"/>
          <w:b/>
          <w:color w:val="000000" w:themeColor="text1"/>
          <w:sz w:val="20"/>
          <w:szCs w:val="20"/>
        </w:rPr>
        <w:t>. prosince</w:t>
      </w:r>
      <w:r w:rsidRPr="004944A2">
        <w:rPr>
          <w:rFonts w:ascii="Arial" w:hAnsi="Arial" w:cs="Arial"/>
          <w:b/>
          <w:color w:val="000000" w:themeColor="text1"/>
          <w:sz w:val="20"/>
          <w:szCs w:val="20"/>
        </w:rPr>
        <w:t xml:space="preserve"> 20</w:t>
      </w:r>
      <w:r w:rsidR="004944A2" w:rsidRPr="004944A2">
        <w:rPr>
          <w:rFonts w:ascii="Arial" w:hAnsi="Arial" w:cs="Arial"/>
          <w:b/>
          <w:color w:val="000000" w:themeColor="text1"/>
          <w:sz w:val="20"/>
          <w:szCs w:val="20"/>
        </w:rPr>
        <w:t>2</w:t>
      </w:r>
      <w:r w:rsidR="00301D4B">
        <w:rPr>
          <w:rFonts w:ascii="Arial" w:hAnsi="Arial" w:cs="Arial"/>
          <w:b/>
          <w:color w:val="000000" w:themeColor="text1"/>
          <w:sz w:val="20"/>
          <w:szCs w:val="20"/>
        </w:rPr>
        <w:t>1</w:t>
      </w:r>
      <w:r w:rsidRPr="00614A02">
        <w:rPr>
          <w:rFonts w:ascii="Arial" w:hAnsi="Arial" w:cs="Arial"/>
          <w:color w:val="000000" w:themeColor="text1"/>
          <w:sz w:val="20"/>
          <w:szCs w:val="20"/>
        </w:rPr>
        <w:t>, propadají ve prospěch Organizátora.</w:t>
      </w:r>
    </w:p>
    <w:p w:rsidR="00216D8E" w:rsidRPr="00614A02" w:rsidRDefault="00216D8E" w:rsidP="00216D8E">
      <w:pPr>
        <w:ind w:left="360"/>
        <w:jc w:val="both"/>
        <w:outlineLvl w:val="0"/>
        <w:rPr>
          <w:rFonts w:ascii="Arial" w:hAnsi="Arial" w:cs="Arial"/>
          <w:b/>
          <w:color w:val="000000" w:themeColor="text1"/>
          <w:sz w:val="20"/>
          <w:szCs w:val="20"/>
        </w:rPr>
      </w:pPr>
    </w:p>
    <w:p w:rsidR="00216D8E" w:rsidRPr="009B490A" w:rsidRDefault="00216D8E" w:rsidP="00216D8E">
      <w:pPr>
        <w:jc w:val="both"/>
        <w:outlineLvl w:val="0"/>
        <w:rPr>
          <w:rFonts w:ascii="Arial" w:hAnsi="Arial" w:cs="Arial"/>
          <w:b/>
          <w:color w:val="000000" w:themeColor="text1"/>
          <w:sz w:val="20"/>
          <w:szCs w:val="20"/>
        </w:rPr>
      </w:pPr>
    </w:p>
    <w:p w:rsidR="00216D8E" w:rsidRPr="009B490A" w:rsidRDefault="00216D8E" w:rsidP="00216D8E">
      <w:pPr>
        <w:jc w:val="both"/>
        <w:outlineLvl w:val="0"/>
        <w:rPr>
          <w:rFonts w:ascii="Arial" w:hAnsi="Arial" w:cs="Arial"/>
          <w:b/>
          <w:color w:val="000000" w:themeColor="text1"/>
          <w:sz w:val="20"/>
          <w:szCs w:val="20"/>
        </w:rPr>
      </w:pPr>
      <w:r w:rsidRPr="009B490A">
        <w:rPr>
          <w:rFonts w:ascii="Arial" w:hAnsi="Arial" w:cs="Arial"/>
          <w:b/>
          <w:color w:val="000000" w:themeColor="text1"/>
          <w:sz w:val="20"/>
          <w:szCs w:val="20"/>
        </w:rPr>
        <w:t xml:space="preserve">Podmínky účasti ve Hře   </w:t>
      </w:r>
    </w:p>
    <w:p w:rsidR="00216D8E" w:rsidRPr="009B490A" w:rsidRDefault="00216D8E" w:rsidP="00216D8E">
      <w:pPr>
        <w:jc w:val="both"/>
        <w:outlineLvl w:val="0"/>
        <w:rPr>
          <w:rFonts w:ascii="Arial" w:hAnsi="Arial" w:cs="Arial"/>
          <w:b/>
          <w:color w:val="000000" w:themeColor="text1"/>
          <w:sz w:val="20"/>
          <w:szCs w:val="20"/>
        </w:rPr>
      </w:pPr>
    </w:p>
    <w:p w:rsidR="00216D8E" w:rsidRPr="009B490A" w:rsidRDefault="00216D8E" w:rsidP="00216D8E">
      <w:pPr>
        <w:numPr>
          <w:ilvl w:val="0"/>
          <w:numId w:val="8"/>
        </w:numPr>
        <w:jc w:val="both"/>
        <w:rPr>
          <w:rFonts w:ascii="Arial" w:hAnsi="Arial" w:cs="Arial"/>
          <w:color w:val="000000" w:themeColor="text1"/>
          <w:sz w:val="20"/>
          <w:szCs w:val="20"/>
        </w:rPr>
      </w:pPr>
      <w:r w:rsidRPr="009B490A">
        <w:rPr>
          <w:rFonts w:ascii="Arial" w:hAnsi="Arial" w:cs="Arial"/>
          <w:color w:val="000000" w:themeColor="text1"/>
          <w:sz w:val="20"/>
          <w:szCs w:val="20"/>
        </w:rPr>
        <w:t xml:space="preserve">Hry se nemohou účastnit osoby, které jsou v pracovním či obdobném poměru k Organizátorovi, či ke společnosti MO PARTNER a.s. nebo jsou k takovým osobám ve vztahu osob blízkých. </w:t>
      </w: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numPr>
          <w:ilvl w:val="0"/>
          <w:numId w:val="9"/>
        </w:numPr>
        <w:jc w:val="both"/>
        <w:rPr>
          <w:rFonts w:ascii="Arial" w:hAnsi="Arial" w:cs="Arial"/>
          <w:color w:val="000000" w:themeColor="text1"/>
          <w:sz w:val="20"/>
          <w:szCs w:val="20"/>
        </w:rPr>
      </w:pPr>
      <w:r w:rsidRPr="009B490A">
        <w:rPr>
          <w:rFonts w:ascii="Arial" w:hAnsi="Arial" w:cs="Arial"/>
          <w:color w:val="000000" w:themeColor="text1"/>
          <w:sz w:val="20"/>
          <w:szCs w:val="20"/>
        </w:rPr>
        <w:t>Účastníci se Hry účastní s vědomím, že nemohou požadovat výhru v celkovém rozsahu ani v jednotlivých případech ve vyšší hodnotě nebo ve větším množství, než jaké určí Organizátor.</w:t>
      </w: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jc w:val="both"/>
        <w:rPr>
          <w:rFonts w:ascii="Arial" w:hAnsi="Arial" w:cs="Arial"/>
          <w:color w:val="000000" w:themeColor="text1"/>
          <w:sz w:val="20"/>
          <w:szCs w:val="20"/>
        </w:rPr>
      </w:pPr>
    </w:p>
    <w:p w:rsidR="0093068D" w:rsidRDefault="0093068D" w:rsidP="00216D8E">
      <w:pPr>
        <w:pStyle w:val="Nadpis1"/>
        <w:rPr>
          <w:rFonts w:ascii="Arial" w:hAnsi="Arial" w:cs="Arial"/>
          <w:color w:val="000000" w:themeColor="text1"/>
        </w:rPr>
      </w:pPr>
    </w:p>
    <w:p w:rsidR="0093068D" w:rsidRDefault="0093068D" w:rsidP="00216D8E">
      <w:pPr>
        <w:pStyle w:val="Nadpis1"/>
        <w:rPr>
          <w:rFonts w:ascii="Arial" w:hAnsi="Arial" w:cs="Arial"/>
          <w:color w:val="000000" w:themeColor="text1"/>
        </w:rPr>
      </w:pPr>
    </w:p>
    <w:p w:rsidR="00216D8E" w:rsidRPr="009B490A" w:rsidRDefault="00216D8E" w:rsidP="00216D8E">
      <w:pPr>
        <w:pStyle w:val="Nadpis1"/>
        <w:rPr>
          <w:rFonts w:ascii="Arial" w:hAnsi="Arial" w:cs="Arial"/>
          <w:color w:val="000000" w:themeColor="text1"/>
        </w:rPr>
      </w:pPr>
      <w:r w:rsidRPr="009B490A">
        <w:rPr>
          <w:rFonts w:ascii="Arial" w:hAnsi="Arial" w:cs="Arial"/>
          <w:color w:val="000000" w:themeColor="text1"/>
        </w:rPr>
        <w:t xml:space="preserve">Zpracování informací   </w:t>
      </w:r>
    </w:p>
    <w:p w:rsidR="00216D8E" w:rsidRPr="009B490A" w:rsidRDefault="00216D8E" w:rsidP="00216D8E">
      <w:pPr>
        <w:rPr>
          <w:color w:val="000000" w:themeColor="text1"/>
        </w:rPr>
      </w:pPr>
    </w:p>
    <w:p w:rsidR="00216D8E" w:rsidRPr="009B490A" w:rsidRDefault="00216D8E" w:rsidP="00216D8E">
      <w:pPr>
        <w:numPr>
          <w:ilvl w:val="0"/>
          <w:numId w:val="10"/>
        </w:numPr>
        <w:jc w:val="both"/>
        <w:rPr>
          <w:rFonts w:ascii="Arial" w:hAnsi="Arial" w:cs="Arial"/>
          <w:color w:val="000000" w:themeColor="text1"/>
          <w:sz w:val="20"/>
          <w:szCs w:val="20"/>
        </w:rPr>
      </w:pPr>
      <w:r w:rsidRPr="009B490A">
        <w:rPr>
          <w:rFonts w:ascii="Arial" w:hAnsi="Arial" w:cs="Arial"/>
          <w:color w:val="000000" w:themeColor="text1"/>
          <w:sz w:val="20"/>
          <w:szCs w:val="20"/>
        </w:rPr>
        <w:t xml:space="preserve">Vhozením vyplněné Hrací karty do Schránky schvaluje každý Účastník tato pravidla </w:t>
      </w:r>
      <w:r w:rsidRPr="009B490A">
        <w:rPr>
          <w:rFonts w:ascii="Arial" w:hAnsi="Arial" w:cs="Arial"/>
          <w:color w:val="000000" w:themeColor="text1"/>
          <w:sz w:val="20"/>
          <w:szCs w:val="20"/>
        </w:rPr>
        <w:br/>
        <w:t xml:space="preserve">a instrukce, které jsou uvedeny na všech herních dokumentech, a přistupuje k nim. </w:t>
      </w: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numPr>
          <w:ilvl w:val="0"/>
          <w:numId w:val="10"/>
        </w:numPr>
        <w:jc w:val="both"/>
        <w:rPr>
          <w:rFonts w:ascii="Arial" w:hAnsi="Arial" w:cs="Arial"/>
          <w:color w:val="000000" w:themeColor="text1"/>
          <w:sz w:val="20"/>
          <w:szCs w:val="20"/>
        </w:rPr>
      </w:pPr>
      <w:r w:rsidRPr="009B490A">
        <w:rPr>
          <w:rFonts w:ascii="Arial" w:hAnsi="Arial" w:cs="Arial"/>
          <w:color w:val="000000" w:themeColor="text1"/>
          <w:sz w:val="20"/>
          <w:szCs w:val="20"/>
        </w:rPr>
        <w:t>Převzetím výhry vyslovuje každý Účastník svůj souhlas se zpracováním osobních údajů pro účely Hry, a to na dobu nezbytně nutnou od začátku konání Hry.</w:t>
      </w:r>
    </w:p>
    <w:p w:rsidR="00B8422F" w:rsidRPr="009B490A" w:rsidRDefault="00B8422F" w:rsidP="00B8422F">
      <w:pPr>
        <w:pStyle w:val="Odstavecseseznamem"/>
        <w:rPr>
          <w:rFonts w:ascii="Arial" w:hAnsi="Arial" w:cs="Arial"/>
          <w:color w:val="000000" w:themeColor="text1"/>
          <w:sz w:val="20"/>
          <w:szCs w:val="20"/>
        </w:rPr>
      </w:pPr>
    </w:p>
    <w:p w:rsidR="00B8422F" w:rsidRPr="009B490A" w:rsidRDefault="00B8422F" w:rsidP="00B8422F">
      <w:pPr>
        <w:numPr>
          <w:ilvl w:val="0"/>
          <w:numId w:val="10"/>
        </w:numPr>
        <w:jc w:val="both"/>
        <w:rPr>
          <w:rFonts w:ascii="Arial" w:hAnsi="Arial" w:cs="Arial"/>
          <w:color w:val="000000" w:themeColor="text1"/>
          <w:sz w:val="20"/>
          <w:szCs w:val="20"/>
        </w:rPr>
      </w:pPr>
      <w:r w:rsidRPr="009B490A">
        <w:rPr>
          <w:rFonts w:ascii="Arial" w:hAnsi="Arial" w:cs="Arial"/>
          <w:color w:val="000000" w:themeColor="text1"/>
          <w:sz w:val="20"/>
          <w:szCs w:val="20"/>
        </w:rPr>
        <w:t>Zpracování osobních údajů zákazníka je nebytné pro zajištění regulérního průběhu soutěže a k poskytnutí plnění z případné výhry. Za tímto účelem budou v nezbytném rozsahu a po nezbytnou dobu zpracovávány zákazníkovy identifikační údaje uvedené v hrací kartě (jméno, příjemní), dále kontaktní údaje (telefonní číslo).  V tomto rozsahu je MO Partner a.s. oprávněn zpracovávat osobní údaje zákazníka, a to rovněž za účelem ochrany svých práv v případě sporu se zákazníkem. V případě, že zákazník odmítne poskytnout tyto své osobní údaje za výše uvedeným účelem, nesplní podmínky pro účast v soutěži.</w:t>
      </w:r>
    </w:p>
    <w:p w:rsidR="00B8422F" w:rsidRPr="009B490A" w:rsidRDefault="00B8422F" w:rsidP="00B8422F">
      <w:pPr>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Souhlas s dobrovolným zpracováním osobních údajů</w:t>
      </w:r>
      <w:r w:rsidR="00F57578" w:rsidRPr="009B490A">
        <w:rPr>
          <w:rFonts w:ascii="Arial" w:hAnsi="Arial" w:cs="Arial"/>
          <w:color w:val="000000" w:themeColor="text1"/>
          <w:sz w:val="20"/>
          <w:szCs w:val="20"/>
        </w:rPr>
        <w:t>:</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Zákazník svojí účastí v soutěži vyplněním jména a příjmení a telefonního čísla na hrací kartě soutěže dává svůj souhlas s dobrovolným zpracováním osobních údajů pro účely marketingu a souhlasí s tím, aby MO Partner a.s. měla právo zpracovávat jeho osobní údaje v rozsahu jméno, příjmení, telefonní číslo pro příležitostné sdělování marketingových a jiných obdobných informací, které obecně souvisejí s obchodní činností MO Partner a.s. Toto zpracování je dobrovolné. Souhlas se uděluje na dobu trvání soutěže Vánoční hra, avšak zákazník je oprávněn jej kdykoliv a jakoukoliv formou odvolat.</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MO Partner a.s. zpřístupní osobní údaje zákazníka dalším subjektům pouze tehdy, pokud jim bude svědčit zákonný důvod pro přístup k údajům, například orgánům činným v trestním řízení, orgánům státní správy nebo jiným kontrolním orgánům.</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Zákazník má jako subjekt údajů veškerá práva přiznaná GDPR, Zákonem o ochraně osobních údajů a dalšími právními předpisy, a to zejména:</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Právo na přístup k osobním údajům ve smyslu článku 15 GDPR, které mu umožňuje požádat MO Partner o informaci, zda dochází ke zpracování jeho osobních údajů či nikoliv a poskytnutí dalších informací týkajících se zpracování osobních údajů</w:t>
      </w:r>
      <w:r w:rsidR="00303709" w:rsidRPr="009B490A">
        <w:rPr>
          <w:rFonts w:ascii="Arial" w:hAnsi="Arial" w:cs="Arial"/>
          <w:color w:val="000000" w:themeColor="text1"/>
          <w:sz w:val="20"/>
          <w:szCs w:val="20"/>
        </w:rPr>
        <w:t>.</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Právo na opravu či doplnění osobních údajů ve smyslu článku 16 GDPR, pokud MO Partner zpracovává nepřesné či neúplné osobní údaje, které se ho týkají</w:t>
      </w:r>
      <w:r w:rsidR="00303709" w:rsidRPr="009B490A">
        <w:rPr>
          <w:rFonts w:ascii="Arial" w:hAnsi="Arial" w:cs="Arial"/>
          <w:color w:val="000000" w:themeColor="text1"/>
          <w:sz w:val="20"/>
          <w:szCs w:val="20"/>
        </w:rPr>
        <w:t>.</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Právo na výmaz osobních údajů ve smyslu článku 17 GDPR, pokud osobní údaje již nejsou potřebné pro účely, pro které byly shromážděny nebo jinak zpracovány, byl odvolán udělený souhlas a neexistuje žádný další právní důvod pro zpracování, byly vzneseny námitky proti zpracování a neexistují žádné převažující oprávněné důvody pro zpracování, osobní údaje byly zpracovány protiprávně, nebo osobní údaje musí být vymazány ke splnění právní povinnosti MO Partner a.s., ledaže výmazu brání některý z důvodů předpokládaný GDPR</w:t>
      </w:r>
      <w:r w:rsidR="00303709" w:rsidRPr="009B490A">
        <w:rPr>
          <w:rFonts w:ascii="Arial" w:hAnsi="Arial" w:cs="Arial"/>
          <w:color w:val="000000" w:themeColor="text1"/>
          <w:sz w:val="20"/>
          <w:szCs w:val="20"/>
        </w:rPr>
        <w:t>.</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Právo na omezení zpracování osobních údajů ve smyslu článku 18 GDPR, pokud je popírána přesnost osobních údajů, zpracování osobních údajů je protiprávní a subjekt údajů žádá omezení zpracování, MO Partner a.s. osobní údaje nadále nepotřebuje pro účely zpracování, ale zákazník je požaduje pro určení, výkonu nebo obhajobu právních nároků, zákazník vznesl námitku proti zpracování a dosud nedošlo k jejímu vypořádání</w:t>
      </w:r>
      <w:r w:rsidR="00303709" w:rsidRPr="009B490A">
        <w:rPr>
          <w:rFonts w:ascii="Arial" w:hAnsi="Arial" w:cs="Arial"/>
          <w:color w:val="000000" w:themeColor="text1"/>
          <w:sz w:val="20"/>
          <w:szCs w:val="20"/>
        </w:rPr>
        <w:t>.</w:t>
      </w:r>
    </w:p>
    <w:p w:rsidR="00B8422F" w:rsidRPr="009B490A" w:rsidRDefault="00B8422F" w:rsidP="00B8422F">
      <w:pPr>
        <w:ind w:left="708"/>
        <w:jc w:val="both"/>
        <w:rPr>
          <w:rFonts w:ascii="Arial" w:hAnsi="Arial" w:cs="Arial"/>
          <w:color w:val="000000" w:themeColor="text1"/>
          <w:sz w:val="20"/>
          <w:szCs w:val="20"/>
        </w:rPr>
      </w:pPr>
    </w:p>
    <w:p w:rsidR="00B8422F"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t>Právo na přenositelnost osobních údajů ve smyslu článku 20 GDPR, které zákazníkovi umožňuje požádat MO Partner a.s. o poskytnutí jeho osobních údajů ve strukturovaném, běžně používaném a strojově čitelném formátu či jejich předání jinému správci osobních údajů (je-li to technicky proveditelné), jestliže jde o osobní údaje zpracovávané automatizovaně</w:t>
      </w:r>
      <w:r w:rsidR="00F57578" w:rsidRPr="009B490A">
        <w:rPr>
          <w:rFonts w:ascii="Arial" w:hAnsi="Arial" w:cs="Arial"/>
          <w:color w:val="000000" w:themeColor="text1"/>
          <w:sz w:val="20"/>
          <w:szCs w:val="20"/>
        </w:rPr>
        <w:t>.</w:t>
      </w:r>
    </w:p>
    <w:p w:rsidR="00B8422F" w:rsidRPr="009B490A" w:rsidRDefault="00B8422F" w:rsidP="00B8422F">
      <w:pPr>
        <w:ind w:left="708"/>
        <w:jc w:val="both"/>
        <w:rPr>
          <w:rFonts w:ascii="Arial" w:hAnsi="Arial" w:cs="Arial"/>
          <w:color w:val="000000" w:themeColor="text1"/>
          <w:sz w:val="20"/>
          <w:szCs w:val="20"/>
        </w:rPr>
      </w:pPr>
    </w:p>
    <w:p w:rsidR="00F57578" w:rsidRPr="009B490A" w:rsidRDefault="00B8422F" w:rsidP="00B8422F">
      <w:pPr>
        <w:ind w:left="708"/>
        <w:jc w:val="both"/>
        <w:rPr>
          <w:rFonts w:ascii="Arial" w:hAnsi="Arial" w:cs="Arial"/>
          <w:color w:val="000000" w:themeColor="text1"/>
          <w:sz w:val="20"/>
          <w:szCs w:val="20"/>
        </w:rPr>
      </w:pPr>
      <w:r w:rsidRPr="009B490A">
        <w:rPr>
          <w:rFonts w:ascii="Arial" w:hAnsi="Arial" w:cs="Arial"/>
          <w:color w:val="000000" w:themeColor="text1"/>
          <w:sz w:val="20"/>
          <w:szCs w:val="20"/>
        </w:rPr>
        <w:lastRenderedPageBreak/>
        <w:tab/>
        <w:t>Právo vnést námitku proti zpracování osobních údajů ve smyslu článku 21 GDPR, pokud MO Partner zpracovává osobní údaje na základě oprávněné</w:t>
      </w:r>
      <w:r w:rsidR="00F57578" w:rsidRPr="009B490A">
        <w:rPr>
          <w:rFonts w:ascii="Arial" w:hAnsi="Arial" w:cs="Arial"/>
          <w:color w:val="000000" w:themeColor="text1"/>
          <w:sz w:val="20"/>
          <w:szCs w:val="20"/>
        </w:rPr>
        <w:t>ho zájmu či přímého marketingu.</w:t>
      </w:r>
    </w:p>
    <w:p w:rsidR="00F57578" w:rsidRPr="009B490A" w:rsidRDefault="00F57578" w:rsidP="00B8422F">
      <w:pPr>
        <w:ind w:left="708"/>
        <w:jc w:val="both"/>
        <w:rPr>
          <w:rFonts w:ascii="Arial" w:hAnsi="Arial" w:cs="Arial"/>
          <w:color w:val="000000" w:themeColor="text1"/>
          <w:sz w:val="20"/>
          <w:szCs w:val="20"/>
        </w:rPr>
      </w:pPr>
    </w:p>
    <w:p w:rsidR="00B8422F" w:rsidRPr="009B490A" w:rsidRDefault="00F57578" w:rsidP="00F57578">
      <w:pPr>
        <w:ind w:left="708" w:firstLine="708"/>
        <w:jc w:val="both"/>
        <w:rPr>
          <w:rFonts w:ascii="Arial" w:hAnsi="Arial" w:cs="Arial"/>
          <w:color w:val="000000" w:themeColor="text1"/>
          <w:sz w:val="20"/>
          <w:szCs w:val="20"/>
        </w:rPr>
      </w:pPr>
      <w:r w:rsidRPr="009B490A">
        <w:rPr>
          <w:rFonts w:ascii="Arial" w:hAnsi="Arial" w:cs="Arial"/>
          <w:color w:val="000000" w:themeColor="text1"/>
          <w:sz w:val="20"/>
          <w:szCs w:val="20"/>
        </w:rPr>
        <w:t>P</w:t>
      </w:r>
      <w:r w:rsidR="00B8422F" w:rsidRPr="009B490A">
        <w:rPr>
          <w:rFonts w:ascii="Arial" w:hAnsi="Arial" w:cs="Arial"/>
          <w:color w:val="000000" w:themeColor="text1"/>
          <w:sz w:val="20"/>
          <w:szCs w:val="20"/>
        </w:rPr>
        <w:t>rávo podat stížnost u dozorového úřadu, kterým je v České republice Úřad pro ochranu osobních údajů, Ppl. Sochora 27, 170 00 Praha 7.</w:t>
      </w:r>
    </w:p>
    <w:p w:rsidR="00B8422F" w:rsidRPr="009B490A" w:rsidRDefault="00B8422F" w:rsidP="00B8422F">
      <w:pPr>
        <w:jc w:val="both"/>
        <w:rPr>
          <w:rFonts w:ascii="Arial" w:hAnsi="Arial" w:cs="Arial"/>
          <w:color w:val="000000" w:themeColor="text1"/>
          <w:sz w:val="20"/>
          <w:szCs w:val="20"/>
        </w:rPr>
      </w:pPr>
    </w:p>
    <w:p w:rsidR="00B8422F" w:rsidRPr="009B490A" w:rsidRDefault="00B8422F" w:rsidP="00B8422F">
      <w:pPr>
        <w:pStyle w:val="Odstavecseseznamem"/>
        <w:rPr>
          <w:rFonts w:ascii="Arial" w:hAnsi="Arial" w:cs="Arial"/>
          <w:color w:val="000000" w:themeColor="text1"/>
          <w:sz w:val="20"/>
          <w:szCs w:val="20"/>
        </w:rPr>
      </w:pPr>
    </w:p>
    <w:p w:rsidR="00B8422F" w:rsidRPr="009B490A" w:rsidRDefault="00B8422F" w:rsidP="00B8422F">
      <w:pPr>
        <w:numPr>
          <w:ilvl w:val="0"/>
          <w:numId w:val="10"/>
        </w:numPr>
        <w:jc w:val="both"/>
        <w:rPr>
          <w:rFonts w:ascii="Arial" w:hAnsi="Arial" w:cs="Arial"/>
          <w:color w:val="000000" w:themeColor="text1"/>
          <w:sz w:val="20"/>
          <w:szCs w:val="20"/>
        </w:rPr>
      </w:pPr>
      <w:r w:rsidRPr="009B490A">
        <w:rPr>
          <w:rFonts w:ascii="Arial" w:hAnsi="Arial" w:cs="Arial"/>
          <w:color w:val="000000" w:themeColor="text1"/>
          <w:sz w:val="20"/>
          <w:szCs w:val="20"/>
        </w:rPr>
        <w:t>Účastí ve Hře každý Účastník potvrzuje, že je seznámen se všemi právy, které vyplývají ze Zákona o ochraně osobních údajů a z GDPR, tj. Zejména s tím, že poskytnutí osobních údajů je dobrovolné a že má právo k přístupu k těmto údajům, jakož i s dalšími právy vyplývajícími z čl. 15,16, 17,18, 20 a 21 GDPR a ze Zákona o ochraně osobních údajů.</w:t>
      </w: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numPr>
          <w:ilvl w:val="0"/>
          <w:numId w:val="10"/>
        </w:numPr>
        <w:jc w:val="both"/>
        <w:rPr>
          <w:rFonts w:ascii="Arial" w:hAnsi="Arial" w:cs="Arial"/>
          <w:color w:val="000000" w:themeColor="text1"/>
          <w:sz w:val="20"/>
          <w:szCs w:val="20"/>
        </w:rPr>
      </w:pPr>
      <w:r w:rsidRPr="009B490A">
        <w:rPr>
          <w:rFonts w:ascii="Arial" w:hAnsi="Arial" w:cs="Arial"/>
          <w:color w:val="000000" w:themeColor="text1"/>
          <w:sz w:val="20"/>
          <w:szCs w:val="20"/>
        </w:rPr>
        <w:t>Takto udělený souhlas může Účastník kdykoliv odvolat doporučeným dopisem doručeným na adresu sídla Organizátora.</w:t>
      </w: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jc w:val="both"/>
        <w:rPr>
          <w:rFonts w:ascii="Arial" w:hAnsi="Arial" w:cs="Arial"/>
          <w:color w:val="000000" w:themeColor="text1"/>
          <w:sz w:val="20"/>
          <w:szCs w:val="20"/>
        </w:rPr>
      </w:pPr>
    </w:p>
    <w:p w:rsidR="00216D8E" w:rsidRPr="009B490A" w:rsidRDefault="00216D8E" w:rsidP="00216D8E">
      <w:pPr>
        <w:jc w:val="both"/>
        <w:rPr>
          <w:rFonts w:ascii="Arial" w:hAnsi="Arial" w:cs="Arial"/>
          <w:color w:val="000000" w:themeColor="text1"/>
          <w:sz w:val="20"/>
          <w:szCs w:val="20"/>
        </w:rPr>
      </w:pPr>
    </w:p>
    <w:p w:rsidR="00ED495B" w:rsidRDefault="00ED495B" w:rsidP="00216D8E">
      <w:pPr>
        <w:rPr>
          <w:rFonts w:ascii="Arial" w:hAnsi="Arial" w:cs="Arial"/>
          <w:sz w:val="20"/>
          <w:szCs w:val="20"/>
        </w:rPr>
      </w:pPr>
    </w:p>
    <w:sectPr w:rsidR="00ED495B" w:rsidSect="00A30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857"/>
    <w:multiLevelType w:val="hybridMultilevel"/>
    <w:tmpl w:val="A146A45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15A3EA6"/>
    <w:multiLevelType w:val="hybridMultilevel"/>
    <w:tmpl w:val="6D98D61E"/>
    <w:lvl w:ilvl="0" w:tplc="04050005">
      <w:start w:val="1"/>
      <w:numFmt w:val="bullet"/>
      <w:lvlText w:val=""/>
      <w:lvlJc w:val="left"/>
      <w:pPr>
        <w:tabs>
          <w:tab w:val="num" w:pos="1776"/>
        </w:tabs>
        <w:ind w:left="177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E587460"/>
    <w:multiLevelType w:val="hybridMultilevel"/>
    <w:tmpl w:val="CD4EA848"/>
    <w:lvl w:ilvl="0" w:tplc="D27C5876">
      <w:start w:val="1"/>
      <w:numFmt w:val="bullet"/>
      <w:lvlText w:val=""/>
      <w:lvlJc w:val="left"/>
      <w:pPr>
        <w:tabs>
          <w:tab w:val="num" w:pos="360"/>
        </w:tabs>
        <w:ind w:left="360" w:hanging="360"/>
      </w:pPr>
      <w:rPr>
        <w:rFonts w:ascii="Wingdings" w:hAnsi="Wingdings" w:hint="default"/>
        <w:color w:val="auto"/>
      </w:rPr>
    </w:lvl>
    <w:lvl w:ilvl="1" w:tplc="A322DE5C">
      <w:start w:val="1"/>
      <w:numFmt w:val="bullet"/>
      <w:lvlText w:val=""/>
      <w:lvlJc w:val="left"/>
      <w:pPr>
        <w:tabs>
          <w:tab w:val="num" w:pos="12"/>
        </w:tabs>
        <w:ind w:left="12" w:hanging="360"/>
      </w:pPr>
      <w:rPr>
        <w:rFonts w:ascii="Wingdings" w:hAnsi="Wingdings" w:hint="default"/>
      </w:rPr>
    </w:lvl>
    <w:lvl w:ilvl="2" w:tplc="04050005">
      <w:start w:val="1"/>
      <w:numFmt w:val="bullet"/>
      <w:lvlText w:val=""/>
      <w:lvlJc w:val="left"/>
      <w:pPr>
        <w:tabs>
          <w:tab w:val="num" w:pos="732"/>
        </w:tabs>
        <w:ind w:left="732" w:hanging="360"/>
      </w:pPr>
      <w:rPr>
        <w:rFonts w:ascii="Wingdings" w:hAnsi="Wingdings" w:hint="default"/>
      </w:rPr>
    </w:lvl>
    <w:lvl w:ilvl="3" w:tplc="5A0AB1FA">
      <w:numFmt w:val="bullet"/>
      <w:lvlText w:val="-"/>
      <w:lvlJc w:val="left"/>
      <w:pPr>
        <w:tabs>
          <w:tab w:val="num" w:pos="1452"/>
        </w:tabs>
        <w:ind w:left="1452" w:hanging="360"/>
      </w:pPr>
      <w:rPr>
        <w:rFonts w:ascii="Tahoma" w:eastAsia="Times New Roman" w:hAnsi="Tahoma" w:cs="Tahoma"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0F46DD9"/>
    <w:multiLevelType w:val="hybridMultilevel"/>
    <w:tmpl w:val="E89421A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7533B16"/>
    <w:multiLevelType w:val="hybridMultilevel"/>
    <w:tmpl w:val="52C274A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9AB069C"/>
    <w:multiLevelType w:val="hybridMultilevel"/>
    <w:tmpl w:val="9C0CF63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ED495B"/>
    <w:rsid w:val="00012FEE"/>
    <w:rsid w:val="000717F1"/>
    <w:rsid w:val="00084233"/>
    <w:rsid w:val="00132286"/>
    <w:rsid w:val="00133928"/>
    <w:rsid w:val="00183C4E"/>
    <w:rsid w:val="001A01E5"/>
    <w:rsid w:val="001C6303"/>
    <w:rsid w:val="001F5187"/>
    <w:rsid w:val="001F5A73"/>
    <w:rsid w:val="00216D8E"/>
    <w:rsid w:val="00235449"/>
    <w:rsid w:val="00262ABA"/>
    <w:rsid w:val="002A1631"/>
    <w:rsid w:val="00301D4B"/>
    <w:rsid w:val="00303709"/>
    <w:rsid w:val="003072F4"/>
    <w:rsid w:val="00312FEB"/>
    <w:rsid w:val="00326EB8"/>
    <w:rsid w:val="00354C97"/>
    <w:rsid w:val="0035716B"/>
    <w:rsid w:val="003E4157"/>
    <w:rsid w:val="004944A2"/>
    <w:rsid w:val="004A0E5C"/>
    <w:rsid w:val="00506049"/>
    <w:rsid w:val="00526044"/>
    <w:rsid w:val="00566E4C"/>
    <w:rsid w:val="00567EB0"/>
    <w:rsid w:val="00586E32"/>
    <w:rsid w:val="00596C75"/>
    <w:rsid w:val="00614A02"/>
    <w:rsid w:val="0064129D"/>
    <w:rsid w:val="006857A9"/>
    <w:rsid w:val="0069370E"/>
    <w:rsid w:val="006B7B62"/>
    <w:rsid w:val="00700A73"/>
    <w:rsid w:val="00702863"/>
    <w:rsid w:val="007F3752"/>
    <w:rsid w:val="007F5C6D"/>
    <w:rsid w:val="007F6BDF"/>
    <w:rsid w:val="00800746"/>
    <w:rsid w:val="008938FC"/>
    <w:rsid w:val="008C1A2D"/>
    <w:rsid w:val="008D152B"/>
    <w:rsid w:val="0093068D"/>
    <w:rsid w:val="00950A35"/>
    <w:rsid w:val="009569D1"/>
    <w:rsid w:val="00986D84"/>
    <w:rsid w:val="009B490A"/>
    <w:rsid w:val="009D2F73"/>
    <w:rsid w:val="00A30652"/>
    <w:rsid w:val="00A711FC"/>
    <w:rsid w:val="00A72C89"/>
    <w:rsid w:val="00B06D43"/>
    <w:rsid w:val="00B40F90"/>
    <w:rsid w:val="00B80B79"/>
    <w:rsid w:val="00B8422F"/>
    <w:rsid w:val="00B922E7"/>
    <w:rsid w:val="00BE5DBC"/>
    <w:rsid w:val="00C373BB"/>
    <w:rsid w:val="00C45FB8"/>
    <w:rsid w:val="00C83B40"/>
    <w:rsid w:val="00D534A3"/>
    <w:rsid w:val="00D80CDA"/>
    <w:rsid w:val="00DB0629"/>
    <w:rsid w:val="00DC67C4"/>
    <w:rsid w:val="00E056EE"/>
    <w:rsid w:val="00E80126"/>
    <w:rsid w:val="00E82260"/>
    <w:rsid w:val="00E83304"/>
    <w:rsid w:val="00E90DD5"/>
    <w:rsid w:val="00EA525D"/>
    <w:rsid w:val="00ED495B"/>
    <w:rsid w:val="00F0687F"/>
    <w:rsid w:val="00F125B2"/>
    <w:rsid w:val="00F15AA5"/>
    <w:rsid w:val="00F57578"/>
    <w:rsid w:val="00F66275"/>
    <w:rsid w:val="00F73E91"/>
    <w:rsid w:val="00F74986"/>
    <w:rsid w:val="00FF06C2"/>
    <w:rsid w:val="00FF2A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495B"/>
    <w:rPr>
      <w:sz w:val="24"/>
      <w:szCs w:val="24"/>
    </w:rPr>
  </w:style>
  <w:style w:type="paragraph" w:styleId="Nadpis1">
    <w:name w:val="heading 1"/>
    <w:basedOn w:val="Normln"/>
    <w:next w:val="Normln"/>
    <w:link w:val="Nadpis1Char"/>
    <w:qFormat/>
    <w:rsid w:val="00ED495B"/>
    <w:pPr>
      <w:keepNext/>
      <w:jc w:val="both"/>
      <w:outlineLvl w:val="0"/>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D495B"/>
    <w:rPr>
      <w:color w:val="0000FF"/>
      <w:u w:val="single"/>
    </w:rPr>
  </w:style>
  <w:style w:type="paragraph" w:styleId="Zkladntext">
    <w:name w:val="Body Text"/>
    <w:basedOn w:val="Normln"/>
    <w:rsid w:val="00ED495B"/>
    <w:pPr>
      <w:jc w:val="both"/>
    </w:pPr>
    <w:rPr>
      <w:rFonts w:ascii="Tahoma" w:hAnsi="Tahoma" w:cs="Tahoma"/>
      <w:sz w:val="20"/>
      <w:szCs w:val="20"/>
    </w:rPr>
  </w:style>
  <w:style w:type="paragraph" w:styleId="Odstavecseseznamem">
    <w:name w:val="List Paragraph"/>
    <w:basedOn w:val="Normln"/>
    <w:uiPriority w:val="34"/>
    <w:qFormat/>
    <w:rsid w:val="00526044"/>
    <w:pPr>
      <w:ind w:left="708"/>
    </w:pPr>
  </w:style>
  <w:style w:type="character" w:customStyle="1" w:styleId="Nadpis1Char">
    <w:name w:val="Nadpis 1 Char"/>
    <w:link w:val="Nadpis1"/>
    <w:rsid w:val="00216D8E"/>
    <w:rPr>
      <w:rFonts w:ascii="Tahoma" w:hAnsi="Tahoma" w:cs="Tahoma"/>
      <w:b/>
    </w:rPr>
  </w:style>
  <w:style w:type="paragraph" w:styleId="Textbubliny">
    <w:name w:val="Balloon Text"/>
    <w:basedOn w:val="Normln"/>
    <w:link w:val="TextbublinyChar"/>
    <w:rsid w:val="00800746"/>
    <w:rPr>
      <w:rFonts w:ascii="Segoe UI" w:hAnsi="Segoe UI" w:cs="Segoe UI"/>
      <w:sz w:val="18"/>
      <w:szCs w:val="18"/>
    </w:rPr>
  </w:style>
  <w:style w:type="character" w:customStyle="1" w:styleId="TextbublinyChar">
    <w:name w:val="Text bubliny Char"/>
    <w:basedOn w:val="Standardnpsmoodstavce"/>
    <w:link w:val="Textbubliny"/>
    <w:rsid w:val="00800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479159">
      <w:bodyDiv w:val="1"/>
      <w:marLeft w:val="0"/>
      <w:marRight w:val="0"/>
      <w:marTop w:val="0"/>
      <w:marBottom w:val="0"/>
      <w:divBdr>
        <w:top w:val="none" w:sz="0" w:space="0" w:color="auto"/>
        <w:left w:val="none" w:sz="0" w:space="0" w:color="auto"/>
        <w:bottom w:val="none" w:sz="0" w:space="0" w:color="auto"/>
        <w:right w:val="none" w:sz="0" w:space="0" w:color="auto"/>
      </w:divBdr>
    </w:div>
    <w:div w:id="1083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6304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Pravidla Vánoční hry organizované pro zákazníky členské prodejny maloobchodní sítě MO Partner a</vt:lpstr>
    </vt:vector>
  </TitlesOfParts>
  <Company>Lekis s.r.o.</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Vánoční hry organizované pro zákazníky členské prodejny maloobchodní sítě MO Partner a</dc:title>
  <dc:creator>Ing.Aleš Michálek</dc:creator>
  <cp:lastModifiedBy>BZC-Sabrina</cp:lastModifiedBy>
  <cp:revision>2</cp:revision>
  <cp:lastPrinted>2019-09-05T08:31:00Z</cp:lastPrinted>
  <dcterms:created xsi:type="dcterms:W3CDTF">2021-10-18T06:33:00Z</dcterms:created>
  <dcterms:modified xsi:type="dcterms:W3CDTF">2021-10-18T06:33:00Z</dcterms:modified>
</cp:coreProperties>
</file>